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374" w:type="dxa"/>
        <w:jc w:val="left"/>
        <w:tblInd w:w="52" w:type="dxa"/>
        <w:tblLayout w:type="fixed"/>
        <w:tblCellMar>
          <w:top w:w="72" w:type="dxa"/>
          <w:left w:w="57" w:type="dxa"/>
          <w:bottom w:w="72" w:type="dxa"/>
          <w:right w:w="57" w:type="dxa"/>
        </w:tblCellMar>
        <w:tblLook w:val="0600" w:noHBand="1" w:noVBand="1" w:firstColumn="0" w:lastRow="0" w:lastColumn="0" w:firstRow="0"/>
      </w:tblPr>
      <w:tblGrid>
        <w:gridCol w:w="2466"/>
        <w:gridCol w:w="5103"/>
        <w:gridCol w:w="3687"/>
        <w:gridCol w:w="3117"/>
      </w:tblGrid>
      <w:tr>
        <w:trPr>
          <w:trHeight w:val="689" w:hRule="atLeast"/>
        </w:trPr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4C7DC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ahoma" w:cs="Arial" w:ascii="Arial" w:hAnsi="Arial"/>
                <w:b/>
                <w:bCs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4C7DC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ru-RU"/>
              </w:rPr>
              <w:t>Сроки оказания ГУ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4C7DC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ru-RU"/>
              </w:rPr>
              <w:t>Оценка соответствия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4C7DC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lang w:eastAsia="ru-RU"/>
              </w:rPr>
              <w:t>Прекращение действия лицензии</w:t>
            </w:r>
          </w:p>
        </w:tc>
      </w:tr>
      <w:tr>
        <w:trPr>
          <w:trHeight w:val="2984" w:hRule="atLeast"/>
        </w:trPr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Лицензирование эксплуатации взрывопожароопасных и химически опасных производственных объектов I, II и III  классов опасности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1"/>
                <w:szCs w:val="21"/>
                <w:lang w:eastAsia="ru-RU"/>
              </w:rPr>
              <w:t>13 рабочих дней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а) +5 рабочих дней, если: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- ОПО I, II класса опасности;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- 10 и более адресов мест осуществления лицензируемого вида деятельности (адресов новых мест осуществления лицензируемого вида деятельности);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б)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10 рабочих дней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 xml:space="preserve"> при проведении выездной оценки соответствия лицензионным требованиям с использованием средств дистанционного взаимодействии</w:t>
            </w:r>
            <w:bookmarkStart w:id="0" w:name="_GoBack"/>
            <w:bookmarkEnd w:id="0"/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В форме документарной оценки и выездной оценки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40"/>
                <w:szCs w:val="40"/>
                <w:lang w:eastAsia="ru-RU"/>
              </w:rPr>
              <w:t>ǃ</w:t>
            </w:r>
            <w:r>
              <w:rPr>
                <w:rFonts w:eastAsia="Times New Roman" w:cs="Arial" w:ascii="Arial" w:hAnsi="Arial"/>
                <w:color w:val="000000"/>
                <w:sz w:val="32"/>
                <w:szCs w:val="32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По решению лицензирующего органа в отношении опасного производственного объекта III класса опасности, выездная оценка соответствия лицензионным требованиям может быть проведена с использованием средств дистанционного взаимодействия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6"/>
                <w:szCs w:val="26"/>
                <w:lang w:eastAsia="ru-RU"/>
              </w:rPr>
              <w:t>3 рабочих дня</w:t>
            </w:r>
          </w:p>
        </w:tc>
      </w:tr>
      <w:tr>
        <w:trPr>
          <w:trHeight w:val="1261" w:hRule="atLeast"/>
        </w:trPr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Лицензирование производства маркшейдерских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1"/>
                <w:szCs w:val="21"/>
                <w:lang w:eastAsia="ru-RU"/>
              </w:rPr>
              <w:t>10 рабочих дней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ahoma" w:cs="Arial" w:ascii="Arial" w:hAnsi="Arial"/>
                <w:color w:val="FF0000"/>
                <w:sz w:val="40"/>
                <w:szCs w:val="40"/>
                <w:lang w:eastAsia="ru-RU"/>
              </w:rPr>
              <w:t>ǃ</w:t>
            </w:r>
            <w:r>
              <w:rPr>
                <w:rFonts w:eastAsia="Tahoma" w:cs="Arial" w:ascii="Arial" w:hAnsi="Arial"/>
                <w:color w:val="000000"/>
                <w:lang w:eastAsia="ru-RU"/>
              </w:rPr>
              <w:t xml:space="preserve"> </w:t>
            </w:r>
            <w:r>
              <w:rPr>
                <w:rFonts w:eastAsia="Tahoma" w:cs="Arial" w:ascii="Arial" w:hAnsi="Arial"/>
                <w:color w:val="000000"/>
                <w:sz w:val="20"/>
                <w:szCs w:val="20"/>
                <w:lang w:eastAsia="ru-RU"/>
              </w:rPr>
              <w:t>Выездная оценка проводится посредством использования средств дистанционного взаимодействия без фактического выезда должностного лица лицензирующего органа.</w:t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</w:r>
          </w:p>
        </w:tc>
      </w:tr>
      <w:tr>
        <w:trPr>
          <w:trHeight w:val="1886" w:hRule="atLeast"/>
        </w:trPr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Лицензирование деятельности, связанной с обращением взрывчатых материалов промышленного назначения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hanging="360" w:left="368"/>
              <w:contextualSpacing/>
              <w:jc w:val="center"/>
              <w:rPr>
                <w:rFonts w:ascii="Arial" w:hAnsi="Arial" w:eastAsia="Times New Roman" w:cs="Arial"/>
                <w:color w:val="000000"/>
                <w:sz w:val="21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1"/>
                <w:szCs w:val="21"/>
                <w:lang w:eastAsia="ru-RU"/>
              </w:rPr>
              <w:t>13 рабочих дней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hanging="360" w:left="368"/>
              <w:contextualSpacing/>
              <w:jc w:val="center"/>
              <w:rPr>
                <w:rFonts w:ascii="Arial" w:hAnsi="Arial" w:eastAsia="Times New Roman" w:cs="Arial"/>
                <w:color w:val="000000"/>
                <w:sz w:val="20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выполнение работ – «применение  взрывчатых материалов промышленного назначения»;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hanging="360" w:left="368"/>
              <w:contextualSpacing/>
              <w:jc w:val="center"/>
              <w:rPr>
                <w:rFonts w:ascii="Arial" w:hAnsi="Arial" w:eastAsia="Times New Roman" w:cs="Arial"/>
                <w:color w:val="000000"/>
                <w:sz w:val="21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1"/>
                <w:szCs w:val="21"/>
                <w:lang w:eastAsia="ru-RU"/>
              </w:rPr>
              <w:t>18 рабочих дней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hanging="360" w:left="368"/>
              <w:contextualSpacing/>
              <w:jc w:val="center"/>
              <w:rPr>
                <w:rFonts w:ascii="Arial" w:hAnsi="Arial" w:eastAsia="Times New Roman" w:cs="Arial"/>
                <w:color w:val="000000"/>
                <w:sz w:val="20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выполнение работ, в том числе «производство и (или) хранение взрывчатых материалов промышленного назначения».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В форме документарной оценки и выездной оценки</w:t>
            </w:r>
          </w:p>
        </w:tc>
        <w:tc>
          <w:tcPr>
            <w:tcW w:w="31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3620"/>
        </w:tabs>
        <w:ind w:left="36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5060"/>
        </w:tabs>
        <w:ind w:left="50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5780"/>
        </w:tabs>
        <w:ind w:left="57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7220"/>
        </w:tabs>
        <w:ind w:left="72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7940"/>
        </w:tabs>
        <w:ind w:left="79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8660"/>
        </w:tabs>
        <w:ind w:left="86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9380"/>
        </w:tabs>
        <w:ind w:left="93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476f1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476f13"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LibreOffice/7.6.7.2$Linux_X86_64 LibreOffice_project/60$Build-2</Application>
  <AppVersion>15.0000</AppVersion>
  <Pages>1</Pages>
  <Words>176</Words>
  <Characters>1287</Characters>
  <CharactersWithSpaces>1440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2026-08-05T09:06:00Z</dcterms:created>
  <dc:creator>Юлия Н. Никонова</dc:creator>
  <dc:description/>
  <dc:language>ru-RU</dc:language>
  <cp:lastModifiedBy/>
  <dcterms:modified xsi:type="dcterms:W3CDTF">2026-08-06T12:58:07Z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